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9AAB" w14:textId="77777777" w:rsidR="00DE4C34" w:rsidRPr="001F72A1" w:rsidRDefault="00DE4C34" w:rsidP="00DE4C3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1F72A1">
        <w:rPr>
          <w:rFonts w:ascii="Times New Roman" w:hAnsi="Times New Roman"/>
          <w:b/>
          <w:bCs/>
          <w:sz w:val="24"/>
          <w:szCs w:val="24"/>
        </w:rPr>
        <w:t xml:space="preserve">Appendix 2. </w:t>
      </w:r>
      <w:r w:rsidRPr="001F72A1">
        <w:rPr>
          <w:rFonts w:ascii="Times New Roman" w:hAnsi="Times New Roman"/>
          <w:sz w:val="24"/>
          <w:szCs w:val="24"/>
        </w:rPr>
        <w:t xml:space="preserve">Final </w:t>
      </w:r>
      <w:r>
        <w:rPr>
          <w:rFonts w:ascii="Times New Roman" w:hAnsi="Times New Roman"/>
          <w:sz w:val="24"/>
          <w:szCs w:val="24"/>
        </w:rPr>
        <w:t>c</w:t>
      </w:r>
      <w:r w:rsidRPr="001F72A1">
        <w:rPr>
          <w:rFonts w:ascii="Times New Roman" w:hAnsi="Times New Roman"/>
          <w:sz w:val="24"/>
          <w:szCs w:val="24"/>
        </w:rPr>
        <w:t xml:space="preserve">odes </w:t>
      </w:r>
      <w:r>
        <w:rPr>
          <w:rFonts w:ascii="Times New Roman" w:hAnsi="Times New Roman"/>
          <w:sz w:val="24"/>
          <w:szCs w:val="24"/>
        </w:rPr>
        <w:t>u</w:t>
      </w:r>
      <w:r w:rsidRPr="001F72A1">
        <w:rPr>
          <w:rFonts w:ascii="Times New Roman" w:hAnsi="Times New Roman"/>
          <w:sz w:val="24"/>
          <w:szCs w:val="24"/>
        </w:rPr>
        <w:t xml:space="preserve">sed for </w:t>
      </w:r>
      <w:r>
        <w:rPr>
          <w:rFonts w:ascii="Times New Roman" w:hAnsi="Times New Roman"/>
          <w:sz w:val="24"/>
          <w:szCs w:val="24"/>
        </w:rPr>
        <w:t>a</w:t>
      </w:r>
      <w:r w:rsidRPr="001F72A1">
        <w:rPr>
          <w:rFonts w:ascii="Times New Roman" w:hAnsi="Times New Roman"/>
          <w:sz w:val="24"/>
          <w:szCs w:val="24"/>
        </w:rPr>
        <w:t>nalysis</w:t>
      </w:r>
    </w:p>
    <w:p w14:paraId="7EE863A4" w14:textId="77777777" w:rsidR="00DE4C34" w:rsidRPr="001F72A1" w:rsidRDefault="00DE4C34" w:rsidP="00DE4C3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DE4C34" w:rsidRPr="001F72A1" w14:paraId="7ABDA0C4" w14:textId="77777777" w:rsidTr="00FF7E8D">
        <w:tc>
          <w:tcPr>
            <w:tcW w:w="4351" w:type="dxa"/>
            <w:shd w:val="clear" w:color="auto" w:fill="auto"/>
          </w:tcPr>
          <w:p w14:paraId="34437C65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2A1">
              <w:rPr>
                <w:rFonts w:ascii="Times New Roman" w:hAnsi="Times New Roman"/>
                <w:b/>
                <w:sz w:val="24"/>
                <w:szCs w:val="24"/>
              </w:rPr>
              <w:t xml:space="preserve">Main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Pr="001F72A1">
              <w:rPr>
                <w:rFonts w:ascii="Times New Roman" w:hAnsi="Times New Roman"/>
                <w:b/>
                <w:sz w:val="24"/>
                <w:szCs w:val="24"/>
              </w:rPr>
              <w:t>ategories</w:t>
            </w:r>
          </w:p>
        </w:tc>
        <w:tc>
          <w:tcPr>
            <w:tcW w:w="4351" w:type="dxa"/>
            <w:shd w:val="clear" w:color="auto" w:fill="auto"/>
          </w:tcPr>
          <w:p w14:paraId="1C08053C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2A1">
              <w:rPr>
                <w:rFonts w:ascii="Times New Roman" w:hAnsi="Times New Roman"/>
                <w:b/>
                <w:sz w:val="24"/>
                <w:szCs w:val="24"/>
              </w:rPr>
              <w:t>Codes</w:t>
            </w:r>
          </w:p>
        </w:tc>
      </w:tr>
      <w:tr w:rsidR="00DE4C34" w:rsidRPr="001F72A1" w14:paraId="2FAFD95E" w14:textId="77777777" w:rsidTr="00FF7E8D">
        <w:tc>
          <w:tcPr>
            <w:tcW w:w="4351" w:type="dxa"/>
            <w:vMerge w:val="restart"/>
            <w:shd w:val="clear" w:color="auto" w:fill="auto"/>
          </w:tcPr>
          <w:p w14:paraId="57CD7477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Library</w:t>
            </w:r>
          </w:p>
        </w:tc>
        <w:tc>
          <w:tcPr>
            <w:tcW w:w="4351" w:type="dxa"/>
            <w:shd w:val="clear" w:color="auto" w:fill="auto"/>
          </w:tcPr>
          <w:p w14:paraId="7FF9DD68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Librarian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1F72A1">
              <w:rPr>
                <w:rFonts w:ascii="Times New Roman" w:hAnsi="Times New Roman"/>
                <w:sz w:val="24"/>
                <w:szCs w:val="24"/>
              </w:rPr>
              <w:t>s responsibilities</w:t>
            </w:r>
          </w:p>
        </w:tc>
      </w:tr>
      <w:tr w:rsidR="00DE4C34" w:rsidRPr="001F72A1" w14:paraId="4D29F750" w14:textId="77777777" w:rsidTr="00FF7E8D">
        <w:tc>
          <w:tcPr>
            <w:tcW w:w="4351" w:type="dxa"/>
            <w:vMerge/>
            <w:shd w:val="clear" w:color="auto" w:fill="auto"/>
          </w:tcPr>
          <w:p w14:paraId="0832A4EC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19EDA6F0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Organizational structure</w:t>
            </w:r>
          </w:p>
        </w:tc>
      </w:tr>
      <w:tr w:rsidR="00DE4C34" w:rsidRPr="001F72A1" w14:paraId="53044345" w14:textId="77777777" w:rsidTr="00FF7E8D">
        <w:tc>
          <w:tcPr>
            <w:tcW w:w="4351" w:type="dxa"/>
            <w:vMerge w:val="restart"/>
            <w:shd w:val="clear" w:color="auto" w:fill="auto"/>
          </w:tcPr>
          <w:p w14:paraId="5E01A5C2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Users</w:t>
            </w:r>
          </w:p>
        </w:tc>
        <w:tc>
          <w:tcPr>
            <w:tcW w:w="4351" w:type="dxa"/>
            <w:shd w:val="clear" w:color="auto" w:fill="auto"/>
          </w:tcPr>
          <w:p w14:paraId="0040DA53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User base</w:t>
            </w:r>
          </w:p>
        </w:tc>
      </w:tr>
      <w:tr w:rsidR="00DE4C34" w:rsidRPr="001F72A1" w14:paraId="51FAD53C" w14:textId="77777777" w:rsidTr="00FF7E8D">
        <w:tc>
          <w:tcPr>
            <w:tcW w:w="4351" w:type="dxa"/>
            <w:vMerge/>
            <w:shd w:val="clear" w:color="auto" w:fill="auto"/>
          </w:tcPr>
          <w:p w14:paraId="659592D8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362F5C75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User characteristics</w:t>
            </w:r>
          </w:p>
        </w:tc>
      </w:tr>
      <w:tr w:rsidR="00DE4C34" w:rsidRPr="001F72A1" w14:paraId="433CD5F9" w14:textId="77777777" w:rsidTr="00FF7E8D">
        <w:tc>
          <w:tcPr>
            <w:tcW w:w="4351" w:type="dxa"/>
            <w:vMerge/>
            <w:shd w:val="clear" w:color="auto" w:fill="auto"/>
          </w:tcPr>
          <w:p w14:paraId="1ED34BBF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2B0D95E9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DMP</w:t>
            </w:r>
          </w:p>
        </w:tc>
      </w:tr>
      <w:tr w:rsidR="00DE4C34" w:rsidRPr="001F72A1" w14:paraId="0425BD0E" w14:textId="77777777" w:rsidTr="00FF7E8D">
        <w:tc>
          <w:tcPr>
            <w:tcW w:w="4351" w:type="dxa"/>
            <w:vMerge w:val="restart"/>
            <w:shd w:val="clear" w:color="auto" w:fill="auto"/>
          </w:tcPr>
          <w:p w14:paraId="0FE9927E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Institutional environment</w:t>
            </w:r>
          </w:p>
        </w:tc>
        <w:tc>
          <w:tcPr>
            <w:tcW w:w="4351" w:type="dxa"/>
            <w:shd w:val="clear" w:color="auto" w:fill="auto"/>
          </w:tcPr>
          <w:p w14:paraId="0EA5A7DF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 xml:space="preserve">Physical environment </w:t>
            </w:r>
          </w:p>
        </w:tc>
      </w:tr>
      <w:tr w:rsidR="00DE4C34" w:rsidRPr="001F72A1" w14:paraId="3ADED162" w14:textId="77777777" w:rsidTr="00FF7E8D">
        <w:tc>
          <w:tcPr>
            <w:tcW w:w="4351" w:type="dxa"/>
            <w:vMerge/>
            <w:shd w:val="clear" w:color="auto" w:fill="auto"/>
          </w:tcPr>
          <w:p w14:paraId="36D2678D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40DB5F2B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As a federal agency</w:t>
            </w:r>
          </w:p>
        </w:tc>
      </w:tr>
      <w:tr w:rsidR="00DE4C34" w:rsidRPr="001F72A1" w14:paraId="41B5ABD0" w14:textId="77777777" w:rsidTr="00FF7E8D">
        <w:tc>
          <w:tcPr>
            <w:tcW w:w="4351" w:type="dxa"/>
            <w:vMerge w:val="restart"/>
            <w:shd w:val="clear" w:color="auto" w:fill="auto"/>
          </w:tcPr>
          <w:p w14:paraId="11137180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OCLC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1F72A1">
              <w:rPr>
                <w:rFonts w:ascii="Times New Roman" w:hAnsi="Times New Roman"/>
                <w:sz w:val="24"/>
                <w:szCs w:val="24"/>
              </w:rPr>
              <w:t>Education services</w:t>
            </w:r>
          </w:p>
        </w:tc>
        <w:tc>
          <w:tcPr>
            <w:tcW w:w="4351" w:type="dxa"/>
            <w:shd w:val="clear" w:color="auto" w:fill="auto"/>
          </w:tcPr>
          <w:p w14:paraId="31F5E742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638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Educational goal</w:t>
            </w:r>
          </w:p>
        </w:tc>
      </w:tr>
      <w:tr w:rsidR="00DE4C34" w:rsidRPr="001F72A1" w14:paraId="7ECC57DD" w14:textId="77777777" w:rsidTr="00FF7E8D">
        <w:tc>
          <w:tcPr>
            <w:tcW w:w="4351" w:type="dxa"/>
            <w:vMerge/>
            <w:shd w:val="clear" w:color="auto" w:fill="auto"/>
          </w:tcPr>
          <w:p w14:paraId="718D266C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4F07F199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638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 xml:space="preserve">Perception about online education </w:t>
            </w:r>
          </w:p>
        </w:tc>
      </w:tr>
      <w:tr w:rsidR="00DE4C34" w:rsidRPr="001F72A1" w14:paraId="2ED9AB0A" w14:textId="77777777" w:rsidTr="00FF7E8D">
        <w:tc>
          <w:tcPr>
            <w:tcW w:w="4351" w:type="dxa"/>
            <w:vMerge/>
            <w:shd w:val="clear" w:color="auto" w:fill="auto"/>
          </w:tcPr>
          <w:p w14:paraId="0053BEF6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27D198A5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638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User feedback</w:t>
            </w:r>
          </w:p>
        </w:tc>
      </w:tr>
      <w:tr w:rsidR="00DE4C34" w:rsidRPr="001F72A1" w14:paraId="5104F8E7" w14:textId="77777777" w:rsidTr="00FF7E8D">
        <w:tc>
          <w:tcPr>
            <w:tcW w:w="4351" w:type="dxa"/>
            <w:vMerge/>
            <w:shd w:val="clear" w:color="auto" w:fill="auto"/>
          </w:tcPr>
          <w:p w14:paraId="6F83703A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207559DB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638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Training classes</w:t>
            </w:r>
          </w:p>
        </w:tc>
      </w:tr>
      <w:tr w:rsidR="00DE4C34" w:rsidRPr="001F72A1" w14:paraId="25D89951" w14:textId="77777777" w:rsidTr="00FF7E8D">
        <w:tc>
          <w:tcPr>
            <w:tcW w:w="4351" w:type="dxa"/>
            <w:vMerge/>
            <w:shd w:val="clear" w:color="auto" w:fill="auto"/>
          </w:tcPr>
          <w:p w14:paraId="46CDA7A9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5AA5CDE4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7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Common data elements</w:t>
            </w:r>
          </w:p>
        </w:tc>
      </w:tr>
      <w:tr w:rsidR="00DE4C34" w:rsidRPr="001F72A1" w14:paraId="0E85E2C4" w14:textId="77777777" w:rsidTr="00FF7E8D">
        <w:tc>
          <w:tcPr>
            <w:tcW w:w="4351" w:type="dxa"/>
            <w:vMerge w:val="restart"/>
            <w:shd w:val="clear" w:color="auto" w:fill="auto"/>
          </w:tcPr>
          <w:p w14:paraId="017E8B13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OCLC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1F72A1">
              <w:rPr>
                <w:rFonts w:ascii="Times New Roman" w:hAnsi="Times New Roman"/>
                <w:sz w:val="24"/>
                <w:szCs w:val="24"/>
              </w:rPr>
              <w:t>Expertise services</w:t>
            </w:r>
          </w:p>
        </w:tc>
        <w:tc>
          <w:tcPr>
            <w:tcW w:w="4351" w:type="dxa"/>
            <w:shd w:val="clear" w:color="auto" w:fill="auto"/>
          </w:tcPr>
          <w:p w14:paraId="6EAA18CA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71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Secondary data consultation</w:t>
            </w:r>
          </w:p>
        </w:tc>
      </w:tr>
      <w:tr w:rsidR="00DE4C34" w:rsidRPr="001F72A1" w14:paraId="7F7453FD" w14:textId="77777777" w:rsidTr="00FF7E8D">
        <w:tc>
          <w:tcPr>
            <w:tcW w:w="4351" w:type="dxa"/>
            <w:vMerge/>
            <w:shd w:val="clear" w:color="auto" w:fill="auto"/>
          </w:tcPr>
          <w:p w14:paraId="41592F14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156FDCBF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71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Data wrangling</w:t>
            </w:r>
          </w:p>
        </w:tc>
      </w:tr>
      <w:tr w:rsidR="00DE4C34" w:rsidRPr="001F72A1" w14:paraId="72C67718" w14:textId="77777777" w:rsidTr="00FF7E8D">
        <w:tc>
          <w:tcPr>
            <w:tcW w:w="4351" w:type="dxa"/>
            <w:vMerge/>
            <w:shd w:val="clear" w:color="auto" w:fill="auto"/>
          </w:tcPr>
          <w:p w14:paraId="2CC7117D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6BF6B68F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71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Visualization</w:t>
            </w:r>
          </w:p>
        </w:tc>
      </w:tr>
      <w:tr w:rsidR="00DE4C34" w:rsidRPr="001F72A1" w14:paraId="477D1B09" w14:textId="77777777" w:rsidTr="00FF7E8D">
        <w:tc>
          <w:tcPr>
            <w:tcW w:w="4351" w:type="dxa"/>
            <w:vMerge/>
            <w:shd w:val="clear" w:color="auto" w:fill="auto"/>
          </w:tcPr>
          <w:p w14:paraId="42D3CA55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5205E709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71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Writing services</w:t>
            </w:r>
          </w:p>
        </w:tc>
      </w:tr>
      <w:tr w:rsidR="00DE4C34" w:rsidRPr="001F72A1" w14:paraId="14FFD9D6" w14:textId="77777777" w:rsidTr="00FF7E8D">
        <w:tc>
          <w:tcPr>
            <w:tcW w:w="4351" w:type="dxa"/>
            <w:vMerge/>
            <w:shd w:val="clear" w:color="auto" w:fill="auto"/>
          </w:tcPr>
          <w:p w14:paraId="25830F26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2FE8E758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71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 xml:space="preserve">Data management </w:t>
            </w:r>
            <w:proofErr w:type="spellStart"/>
            <w:r w:rsidRPr="001F72A1">
              <w:rPr>
                <w:rFonts w:ascii="Times New Roman" w:hAnsi="Times New Roman"/>
                <w:sz w:val="24"/>
                <w:szCs w:val="24"/>
              </w:rPr>
              <w:t>hw</w:t>
            </w:r>
            <w:proofErr w:type="spellEnd"/>
            <w:r w:rsidRPr="001F72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F72A1">
              <w:rPr>
                <w:rFonts w:ascii="Times New Roman" w:hAnsi="Times New Roman"/>
                <w:sz w:val="24"/>
                <w:szCs w:val="24"/>
              </w:rPr>
              <w:t>sw</w:t>
            </w:r>
            <w:proofErr w:type="spellEnd"/>
          </w:p>
        </w:tc>
      </w:tr>
      <w:tr w:rsidR="00DE4C34" w:rsidRPr="001F72A1" w14:paraId="0DBAF2A7" w14:textId="77777777" w:rsidTr="00FF7E8D">
        <w:tc>
          <w:tcPr>
            <w:tcW w:w="4351" w:type="dxa"/>
            <w:vMerge/>
            <w:shd w:val="clear" w:color="auto" w:fill="auto"/>
          </w:tcPr>
          <w:p w14:paraId="3654A96E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68F4ADC3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71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Difficulties</w:t>
            </w:r>
          </w:p>
        </w:tc>
      </w:tr>
      <w:tr w:rsidR="00DE4C34" w:rsidRPr="001F72A1" w14:paraId="3E16E8DB" w14:textId="77777777" w:rsidTr="00FF7E8D">
        <w:tc>
          <w:tcPr>
            <w:tcW w:w="4351" w:type="dxa"/>
            <w:vMerge w:val="restart"/>
            <w:shd w:val="clear" w:color="auto" w:fill="auto"/>
          </w:tcPr>
          <w:p w14:paraId="57FB97DB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OCLC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1F72A1">
              <w:rPr>
                <w:rFonts w:ascii="Times New Roman" w:hAnsi="Times New Roman"/>
                <w:sz w:val="24"/>
                <w:szCs w:val="24"/>
              </w:rPr>
              <w:t>Curation services</w:t>
            </w:r>
          </w:p>
        </w:tc>
        <w:tc>
          <w:tcPr>
            <w:tcW w:w="4351" w:type="dxa"/>
            <w:shd w:val="clear" w:color="auto" w:fill="auto"/>
          </w:tcPr>
          <w:p w14:paraId="69FD8652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71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CIT services</w:t>
            </w:r>
          </w:p>
        </w:tc>
      </w:tr>
      <w:tr w:rsidR="00DE4C34" w:rsidRPr="001F72A1" w14:paraId="32813A9A" w14:textId="77777777" w:rsidTr="00FF7E8D">
        <w:tc>
          <w:tcPr>
            <w:tcW w:w="4351" w:type="dxa"/>
            <w:vMerge/>
            <w:shd w:val="clear" w:color="auto" w:fill="auto"/>
          </w:tcPr>
          <w:p w14:paraId="0FEFF713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03E63B65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71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Institutional DB</w:t>
            </w:r>
          </w:p>
        </w:tc>
      </w:tr>
      <w:tr w:rsidR="00DE4C34" w:rsidRPr="001F72A1" w14:paraId="062600DB" w14:textId="77777777" w:rsidTr="00FF7E8D">
        <w:tc>
          <w:tcPr>
            <w:tcW w:w="4351" w:type="dxa"/>
            <w:vMerge/>
            <w:shd w:val="clear" w:color="auto" w:fill="auto"/>
          </w:tcPr>
          <w:p w14:paraId="22B20688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22B1480E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371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Public repositories</w:t>
            </w:r>
          </w:p>
        </w:tc>
      </w:tr>
      <w:tr w:rsidR="00DE4C34" w:rsidRPr="001F72A1" w14:paraId="0B8EE3BF" w14:textId="77777777" w:rsidTr="00FF7E8D">
        <w:tc>
          <w:tcPr>
            <w:tcW w:w="4351" w:type="dxa"/>
            <w:vMerge/>
            <w:shd w:val="clear" w:color="auto" w:fill="auto"/>
          </w:tcPr>
          <w:p w14:paraId="7AFB74C6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1BBBB802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638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 xml:space="preserve">Data management </w:t>
            </w:r>
            <w:proofErr w:type="spellStart"/>
            <w:r w:rsidRPr="001F72A1">
              <w:rPr>
                <w:rFonts w:ascii="Times New Roman" w:hAnsi="Times New Roman"/>
                <w:sz w:val="24"/>
                <w:szCs w:val="24"/>
              </w:rPr>
              <w:t>hw</w:t>
            </w:r>
            <w:proofErr w:type="spellEnd"/>
            <w:r w:rsidRPr="001F72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F72A1">
              <w:rPr>
                <w:rFonts w:ascii="Times New Roman" w:hAnsi="Times New Roman"/>
                <w:sz w:val="24"/>
                <w:szCs w:val="24"/>
              </w:rPr>
              <w:t>sw</w:t>
            </w:r>
            <w:proofErr w:type="spellEnd"/>
          </w:p>
        </w:tc>
      </w:tr>
      <w:tr w:rsidR="00DE4C34" w:rsidRPr="001F72A1" w14:paraId="47A453D7" w14:textId="77777777" w:rsidTr="00FF7E8D">
        <w:tc>
          <w:tcPr>
            <w:tcW w:w="4351" w:type="dxa"/>
            <w:vMerge w:val="restart"/>
            <w:shd w:val="clear" w:color="auto" w:fill="auto"/>
          </w:tcPr>
          <w:p w14:paraId="03C3C0A6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Data lifecycle stages</w:t>
            </w:r>
          </w:p>
        </w:tc>
        <w:tc>
          <w:tcPr>
            <w:tcW w:w="4351" w:type="dxa"/>
            <w:shd w:val="clear" w:color="auto" w:fill="auto"/>
          </w:tcPr>
          <w:p w14:paraId="07C264DE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638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Data creation</w:t>
            </w:r>
          </w:p>
        </w:tc>
      </w:tr>
      <w:tr w:rsidR="00DE4C34" w:rsidRPr="001F72A1" w14:paraId="29EFFD1D" w14:textId="77777777" w:rsidTr="00FF7E8D">
        <w:tc>
          <w:tcPr>
            <w:tcW w:w="4351" w:type="dxa"/>
            <w:vMerge/>
            <w:shd w:val="clear" w:color="auto" w:fill="auto"/>
          </w:tcPr>
          <w:p w14:paraId="06314BFB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2C3C8CBD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638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Data description</w:t>
            </w:r>
          </w:p>
        </w:tc>
      </w:tr>
      <w:tr w:rsidR="00DE4C34" w:rsidRPr="001F72A1" w14:paraId="3AB1C75B" w14:textId="77777777" w:rsidTr="00FF7E8D">
        <w:tc>
          <w:tcPr>
            <w:tcW w:w="4351" w:type="dxa"/>
            <w:vMerge/>
            <w:shd w:val="clear" w:color="auto" w:fill="auto"/>
          </w:tcPr>
          <w:p w14:paraId="76CDFBD4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5742D9FE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638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Data analysis</w:t>
            </w:r>
          </w:p>
        </w:tc>
      </w:tr>
      <w:tr w:rsidR="00DE4C34" w:rsidRPr="001F72A1" w14:paraId="24A61579" w14:textId="77777777" w:rsidTr="00FF7E8D">
        <w:tc>
          <w:tcPr>
            <w:tcW w:w="4351" w:type="dxa"/>
            <w:vMerge/>
            <w:shd w:val="clear" w:color="auto" w:fill="auto"/>
          </w:tcPr>
          <w:p w14:paraId="5139BEFB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2F60839E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638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Data storage</w:t>
            </w:r>
          </w:p>
        </w:tc>
      </w:tr>
      <w:tr w:rsidR="00DE4C34" w:rsidRPr="001F72A1" w14:paraId="1B71D312" w14:textId="77777777" w:rsidTr="00FF7E8D">
        <w:tc>
          <w:tcPr>
            <w:tcW w:w="4351" w:type="dxa"/>
            <w:vMerge/>
            <w:shd w:val="clear" w:color="auto" w:fill="auto"/>
          </w:tcPr>
          <w:p w14:paraId="12928AF7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1AE9EE90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638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Data preservation</w:t>
            </w:r>
          </w:p>
        </w:tc>
      </w:tr>
      <w:tr w:rsidR="00DE4C34" w:rsidRPr="001F72A1" w14:paraId="49D2BA35" w14:textId="77777777" w:rsidTr="00FF7E8D">
        <w:tc>
          <w:tcPr>
            <w:tcW w:w="4351" w:type="dxa"/>
            <w:vMerge/>
            <w:shd w:val="clear" w:color="auto" w:fill="auto"/>
          </w:tcPr>
          <w:p w14:paraId="78BB1B53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3D142B6D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638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Data sharing</w:t>
            </w:r>
          </w:p>
        </w:tc>
      </w:tr>
      <w:tr w:rsidR="00DE4C34" w:rsidRPr="001F72A1" w14:paraId="64662D0A" w14:textId="77777777" w:rsidTr="00FF7E8D">
        <w:tc>
          <w:tcPr>
            <w:tcW w:w="4351" w:type="dxa"/>
            <w:shd w:val="clear" w:color="auto" w:fill="auto"/>
          </w:tcPr>
          <w:p w14:paraId="343E5347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Collaboration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1F72A1">
              <w:rPr>
                <w:rFonts w:ascii="Times New Roman" w:hAnsi="Times New Roman"/>
                <w:sz w:val="24"/>
                <w:szCs w:val="24"/>
              </w:rPr>
              <w:t>within library</w:t>
            </w:r>
          </w:p>
        </w:tc>
        <w:tc>
          <w:tcPr>
            <w:tcW w:w="4351" w:type="dxa"/>
            <w:shd w:val="clear" w:color="auto" w:fill="auto"/>
          </w:tcPr>
          <w:p w14:paraId="560DA455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638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Flexibility</w:t>
            </w:r>
          </w:p>
        </w:tc>
      </w:tr>
      <w:tr w:rsidR="00DE4C34" w:rsidRPr="001F72A1" w14:paraId="5971877A" w14:textId="77777777" w:rsidTr="00FF7E8D">
        <w:tc>
          <w:tcPr>
            <w:tcW w:w="4351" w:type="dxa"/>
            <w:vMerge w:val="restart"/>
            <w:shd w:val="clear" w:color="auto" w:fill="auto"/>
          </w:tcPr>
          <w:p w14:paraId="3EDAC282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Collaboration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1F72A1">
              <w:rPr>
                <w:rFonts w:ascii="Times New Roman" w:hAnsi="Times New Roman"/>
                <w:sz w:val="24"/>
                <w:szCs w:val="24"/>
              </w:rPr>
              <w:t>NIH units</w:t>
            </w:r>
          </w:p>
        </w:tc>
        <w:tc>
          <w:tcPr>
            <w:tcW w:w="4351" w:type="dxa"/>
            <w:shd w:val="clear" w:color="auto" w:fill="auto"/>
          </w:tcPr>
          <w:p w14:paraId="6964C1F3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638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Need for collaboration</w:t>
            </w:r>
          </w:p>
        </w:tc>
      </w:tr>
      <w:tr w:rsidR="00DE4C34" w:rsidRPr="001F72A1" w14:paraId="359DF914" w14:textId="77777777" w:rsidTr="00FF7E8D">
        <w:tc>
          <w:tcPr>
            <w:tcW w:w="4351" w:type="dxa"/>
            <w:vMerge/>
            <w:shd w:val="clear" w:color="auto" w:fill="auto"/>
          </w:tcPr>
          <w:p w14:paraId="73674B5A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5CC2BB72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638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Communication</w:t>
            </w:r>
          </w:p>
        </w:tc>
      </w:tr>
      <w:tr w:rsidR="00DE4C34" w:rsidRPr="001F72A1" w14:paraId="10308377" w14:textId="77777777" w:rsidTr="00FF7E8D">
        <w:tc>
          <w:tcPr>
            <w:tcW w:w="4351" w:type="dxa"/>
            <w:vMerge/>
            <w:shd w:val="clear" w:color="auto" w:fill="auto"/>
          </w:tcPr>
          <w:p w14:paraId="086946FD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49D51FC4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638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Example cases</w:t>
            </w:r>
          </w:p>
        </w:tc>
      </w:tr>
      <w:tr w:rsidR="00DE4C34" w:rsidRPr="001F72A1" w14:paraId="0F9C43E4" w14:textId="77777777" w:rsidTr="00FF7E8D">
        <w:tc>
          <w:tcPr>
            <w:tcW w:w="4351" w:type="dxa"/>
            <w:vMerge w:val="restart"/>
            <w:shd w:val="clear" w:color="auto" w:fill="auto"/>
          </w:tcPr>
          <w:p w14:paraId="303016DE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Collaboration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1F72A1">
              <w:rPr>
                <w:rFonts w:ascii="Times New Roman" w:hAnsi="Times New Roman"/>
                <w:sz w:val="24"/>
                <w:szCs w:val="24"/>
              </w:rPr>
              <w:t>external partners</w:t>
            </w:r>
          </w:p>
        </w:tc>
        <w:tc>
          <w:tcPr>
            <w:tcW w:w="4351" w:type="dxa"/>
            <w:shd w:val="clear" w:color="auto" w:fill="auto"/>
          </w:tcPr>
          <w:p w14:paraId="3FEA03B0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638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>Need for collaboration</w:t>
            </w:r>
          </w:p>
        </w:tc>
      </w:tr>
      <w:tr w:rsidR="00DE4C34" w:rsidRPr="001F72A1" w14:paraId="741564AF" w14:textId="77777777" w:rsidTr="00FF7E8D">
        <w:tc>
          <w:tcPr>
            <w:tcW w:w="4351" w:type="dxa"/>
            <w:vMerge/>
            <w:shd w:val="clear" w:color="auto" w:fill="auto"/>
          </w:tcPr>
          <w:p w14:paraId="78E54A35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0F5CBEEE" w14:textId="77777777" w:rsidR="00DE4C34" w:rsidRPr="001F72A1" w:rsidRDefault="00DE4C34" w:rsidP="00FF7E8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638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72A1">
              <w:rPr>
                <w:rFonts w:ascii="Times New Roman" w:hAnsi="Times New Roman"/>
                <w:sz w:val="24"/>
                <w:szCs w:val="24"/>
              </w:rPr>
              <w:t xml:space="preserve">Example cases </w:t>
            </w:r>
          </w:p>
        </w:tc>
      </w:tr>
    </w:tbl>
    <w:p w14:paraId="73C47E90" w14:textId="77777777" w:rsidR="00DE4C34" w:rsidRPr="001F72A1" w:rsidRDefault="00DE4C34" w:rsidP="00DE4C34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54385738" w14:textId="77777777" w:rsidR="00DE4C34" w:rsidRPr="001F72A1" w:rsidRDefault="00DE4C34" w:rsidP="00DE4C34"/>
    <w:p w14:paraId="0D21F836" w14:textId="77777777" w:rsidR="00FF00ED" w:rsidRDefault="00FF00ED"/>
    <w:sectPr w:rsidR="00FF0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34"/>
    <w:rsid w:val="00087FCB"/>
    <w:rsid w:val="000A0F7C"/>
    <w:rsid w:val="00BB7E3E"/>
    <w:rsid w:val="00DE4C34"/>
    <w:rsid w:val="00F273A0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D8A50"/>
  <w15:chartTrackingRefBased/>
  <w15:docId w15:val="{3B766118-7560-46D4-A932-C7D6ADBE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C34"/>
    <w:pPr>
      <w:spacing w:after="0" w:line="240" w:lineRule="auto"/>
    </w:pPr>
    <w:rPr>
      <w:rFonts w:ascii="Calibri" w:eastAsia="Malgun Gothic" w:hAnsi="Calibri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E4C34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jc w:val="both"/>
    </w:pPr>
    <w:rPr>
      <w:rFonts w:ascii="Malgun Gothic" w:eastAsia="Malgun Gothic" w:hAnsi="Malgun Gothic" w:cs="Malgun Gothic"/>
      <w:color w:val="000000"/>
      <w:kern w:val="2"/>
      <w:sz w:val="20"/>
      <w:szCs w:val="20"/>
      <w:u w:color="0000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Dundek</dc:creator>
  <cp:keywords/>
  <dc:description/>
  <cp:lastModifiedBy>Charlene Dundek</cp:lastModifiedBy>
  <cp:revision>1</cp:revision>
  <dcterms:created xsi:type="dcterms:W3CDTF">2021-09-09T19:35:00Z</dcterms:created>
  <dcterms:modified xsi:type="dcterms:W3CDTF">2021-09-09T19:35:00Z</dcterms:modified>
</cp:coreProperties>
</file>