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 w:eastAsia="ko-KR"/>
          <w:rFonts w:ascii="Times New Roman" w:hAnsi="Times New Roman" w:cs="Times New Roman" w:hint="eastAsia"/>
          <w:b/>
          <w:sz w:val="22"/>
          <w:rtl w:val="off"/>
        </w:rPr>
      </w:pPr>
      <w:r>
        <w:rPr>
          <w:rFonts w:ascii="Times New Roman" w:hAnsi="Times New Roman" w:cs="Times New Roman"/>
          <w:b/>
          <w:sz w:val="22"/>
        </w:rPr>
        <w:t xml:space="preserve">Appendix </w:t>
      </w:r>
      <w:r>
        <w:rPr>
          <w:lang w:eastAsia="ko-KR"/>
          <w:rFonts w:ascii="Times New Roman" w:hAnsi="Times New Roman" w:cs="Times New Roman"/>
          <w:b/>
          <w:sz w:val="22"/>
          <w:rtl w:val="off"/>
        </w:rPr>
        <w:t>B</w:t>
      </w:r>
      <w:r>
        <w:rPr>
          <w:rFonts w:ascii="Times New Roman" w:hAnsi="Times New Roman" w:cs="Times New Roman"/>
          <w:b/>
          <w:sz w:val="22"/>
        </w:rPr>
        <w:t>.</w:t>
      </w:r>
      <w:r>
        <w:rPr>
          <w:lang w:eastAsia="ko-KR"/>
          <w:rFonts w:ascii="Times New Roman" w:hAnsi="Times New Roman" w:cs="Times New Roman"/>
          <w:b/>
          <w:sz w:val="22"/>
          <w:rtl w:val="off"/>
        </w:rPr>
        <w:t xml:space="preserve"> Library Service Codebook</w:t>
      </w:r>
    </w:p>
    <w:tbl>
      <w:tblPr>
        <w:tblStyle w:val="TableGrid"/>
        <w:tblpPr w:vertAnchor="text" w:horzAnchor="page" w:tblpX="1281" w:tblpY="135"/>
        <w:tblW w:w="0" w:type="auto"/>
        <w:tblLook w:val="04A0" w:firstRow="1" w:lastRow="0" w:firstColumn="1" w:lastColumn="0" w:noHBand="0" w:noVBand="1"/>
      </w:tblPr>
      <w:tblGrid>
        <w:gridCol w:w="2134"/>
        <w:gridCol w:w="4418"/>
        <w:gridCol w:w="244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top w:val="single" w:sz="8" w:space="0" w:color="auto"/>
              <w:left w:val="nil" w:sz="4" w:space="0" w:color="FF0000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18"/>
                <w:szCs w:val="20"/>
              </w:rPr>
              <w:t>Service</w:t>
            </w:r>
          </w:p>
        </w:tc>
        <w:tc>
          <w:tcPr>
            <w:tcW w:w="4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eastAsia="Times New Roman" w:hAnsi="Times New Roman" w:hint="default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18"/>
                <w:szCs w:val="20"/>
              </w:rPr>
              <w:t>Definition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8" w:space="0" w:color="auto"/>
              <w:right w:val="nil" w:sz="4" w:space="0" w:color="FF0000"/>
            </w:tcBorders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eastAsia="Times New Roman" w:hAnsi="Times New Roman" w:hint="default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18"/>
                <w:szCs w:val="20"/>
              </w:rPr>
              <w:t>Examples</w:t>
            </w:r>
          </w:p>
        </w:tc>
      </w:tr>
      <w:tr>
        <w:trPr>
          <w:trHeight w:val="76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top w:val="single" w:sz="8" w:space="0" w:color="auto"/>
              <w:lef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Academic Journal Information Guidance</w:t>
            </w:r>
          </w:p>
        </w:tc>
        <w:tc>
          <w:tcPr>
            <w:tcW w:w="4418" w:type="dxa"/>
            <w:tcBorders>
              <w:top w:val="single" w:sz="8" w:space="0" w:color="auto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Support for accessing, evaluating, and using academic journals effectively.</w:t>
            </w:r>
          </w:p>
        </w:tc>
        <w:tc>
          <w:tcPr>
            <w:tcW w:w="2445" w:type="dxa"/>
            <w:tcBorders>
              <w:top w:val="single" w:sz="8" w:space="0" w:color="auto"/>
              <w:righ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Explaining journal rankings, how to use Scopus/SCI, and finding relevant journals.</w:t>
            </w:r>
          </w:p>
        </w:tc>
      </w:tr>
      <w:tr>
        <w:trPr>
          <w:trHeight w:val="50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lef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Center Access Control</w:t>
            </w:r>
          </w:p>
        </w:tc>
        <w:tc>
          <w:tcPr>
            <w:tcW w:w="4418" w:type="dxa"/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Systems for controlling and managing access to library or research center spaces.</w:t>
            </w:r>
          </w:p>
        </w:tc>
        <w:tc>
          <w:tcPr>
            <w:tcW w:w="2445" w:type="dxa"/>
            <w:tcBorders>
              <w:righ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Access card systems, smart door locks.</w:t>
            </w:r>
          </w:p>
        </w:tc>
      </w:tr>
      <w:tr>
        <w:trPr>
          <w:trHeight w:val="50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lef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Cloud-based Access to Electronic Resources</w:t>
            </w:r>
          </w:p>
        </w:tc>
        <w:tc>
          <w:tcPr>
            <w:tcW w:w="4418" w:type="dxa"/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Support for accessing electronic resources from outside the campus via cloud or remote services.</w:t>
            </w:r>
          </w:p>
        </w:tc>
        <w:tc>
          <w:tcPr>
            <w:tcW w:w="2445" w:type="dxa"/>
            <w:tcBorders>
              <w:righ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Using EZproxy, VPN connection instructions.</w:t>
            </w:r>
          </w:p>
        </w:tc>
      </w:tr>
      <w:tr>
        <w:trPr>
          <w:trHeight w:val="50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lef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E-learning Provision/Integration</w:t>
            </w:r>
          </w:p>
        </w:tc>
        <w:tc>
          <w:tcPr>
            <w:tcW w:w="4418" w:type="dxa"/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Provision or integration of online learning systems and content with learning platforms.</w:t>
            </w:r>
          </w:p>
        </w:tc>
        <w:tc>
          <w:tcPr>
            <w:tcW w:w="2445" w:type="dxa"/>
            <w:tcBorders>
              <w:righ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Integration with Moodle, offering e-learning contents.</w:t>
            </w:r>
          </w:p>
        </w:tc>
      </w:tr>
      <w:tr>
        <w:trPr>
          <w:trHeight w:val="50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lef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External Resource Provision/Integration</w:t>
            </w:r>
          </w:p>
        </w:tc>
        <w:tc>
          <w:tcPr>
            <w:tcW w:w="4418" w:type="dxa"/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Services that integrate academic resources from external platforms.</w:t>
            </w:r>
          </w:p>
        </w:tc>
        <w:tc>
          <w:tcPr>
            <w:tcW w:w="2445" w:type="dxa"/>
            <w:tcBorders>
              <w:righ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Access to JSTOR, PubMed, or ProQuest.</w:t>
            </w:r>
          </w:p>
        </w:tc>
      </w:tr>
      <w:tr>
        <w:trPr>
          <w:trHeight w:val="50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lef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Group Activity Space Reservation</w:t>
            </w:r>
          </w:p>
        </w:tc>
        <w:tc>
          <w:tcPr>
            <w:tcW w:w="4418" w:type="dxa"/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Reservation services for collaborative or group workspaces.</w:t>
            </w:r>
          </w:p>
        </w:tc>
        <w:tc>
          <w:tcPr>
            <w:tcW w:w="2445" w:type="dxa"/>
            <w:tcBorders>
              <w:righ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Booking small discussion rooms or meeting rooms.</w:t>
            </w:r>
          </w:p>
        </w:tc>
      </w:tr>
      <w:tr>
        <w:trPr>
          <w:trHeight w:val="749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lef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Information Literacy/User Education</w:t>
            </w:r>
          </w:p>
        </w:tc>
        <w:tc>
          <w:tcPr>
            <w:tcW w:w="4418" w:type="dxa"/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Programs designed to improve users' ability to locate, evaluate, and use information effectively.</w:t>
            </w:r>
          </w:p>
        </w:tc>
        <w:tc>
          <w:tcPr>
            <w:tcW w:w="2445" w:type="dxa"/>
            <w:tcBorders>
              <w:righ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Library orientation, citation tool workshops, search strategies tutorials.</w:t>
            </w:r>
          </w:p>
        </w:tc>
      </w:tr>
      <w:tr>
        <w:trPr>
          <w:trHeight w:val="653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lef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Knowledge &amp; Information Curation</w:t>
            </w:r>
          </w:p>
        </w:tc>
        <w:tc>
          <w:tcPr>
            <w:tcW w:w="4418" w:type="dxa"/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Curation and delivery of trusted and relevant information based on user or subject needs.</w:t>
            </w:r>
          </w:p>
        </w:tc>
        <w:tc>
          <w:tcPr>
            <w:tcW w:w="2445" w:type="dxa"/>
            <w:tcBorders>
              <w:righ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Subject guides, recommended reading lists, pathfinders.</w:t>
            </w:r>
          </w:p>
        </w:tc>
      </w:tr>
      <w:tr>
        <w:trPr>
          <w:trHeight w:val="653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lef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Multimedia Resource Provision/Guidance</w:t>
            </w:r>
          </w:p>
        </w:tc>
        <w:tc>
          <w:tcPr>
            <w:tcW w:w="4418" w:type="dxa"/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Support for accessing and utilizing multimedia and non-print materials.</w:t>
            </w:r>
          </w:p>
        </w:tc>
        <w:tc>
          <w:tcPr>
            <w:tcW w:w="2445" w:type="dxa"/>
            <w:tcBorders>
              <w:righ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Streaming video, audiobooks, multimedia databases.</w:t>
            </w:r>
          </w:p>
        </w:tc>
      </w:tr>
      <w:tr>
        <w:trPr>
          <w:trHeight w:val="653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lef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Online Service Provision/Guidance</w:t>
            </w:r>
          </w:p>
        </w:tc>
        <w:tc>
          <w:tcPr>
            <w:tcW w:w="4418" w:type="dxa"/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Guidance and access to various online library services.</w:t>
            </w:r>
          </w:p>
        </w:tc>
        <w:tc>
          <w:tcPr>
            <w:tcW w:w="2445" w:type="dxa"/>
            <w:tcBorders>
              <w:righ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Chat reference, online manuals, virtual helpdesk.</w:t>
            </w:r>
          </w:p>
        </w:tc>
      </w:tr>
      <w:tr>
        <w:trPr>
          <w:trHeight w:val="50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lef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Personal Research Space Reservation</w:t>
            </w:r>
          </w:p>
        </w:tc>
        <w:tc>
          <w:tcPr>
            <w:tcW w:w="4418" w:type="dxa"/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Reservation service for individual study or research spaces.</w:t>
            </w:r>
          </w:p>
        </w:tc>
        <w:tc>
          <w:tcPr>
            <w:tcW w:w="2445" w:type="dxa"/>
            <w:tcBorders>
              <w:righ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Quiet study rooms, carrels, soundproof booths.</w:t>
            </w:r>
          </w:p>
        </w:tc>
      </w:tr>
      <w:tr>
        <w:trPr>
          <w:trHeight w:val="73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lef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Provision/Use of Library Holdings</w:t>
            </w:r>
          </w:p>
        </w:tc>
        <w:tc>
          <w:tcPr>
            <w:tcW w:w="4418" w:type="dxa"/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Support for accessing and utilizing printed and electronic library materials.</w:t>
            </w:r>
          </w:p>
        </w:tc>
        <w:tc>
          <w:tcPr>
            <w:tcW w:w="2445" w:type="dxa"/>
            <w:tcBorders>
              <w:righ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Book borrowing, reserve materials, library catalog search.</w:t>
            </w:r>
          </w:p>
        </w:tc>
      </w:tr>
      <w:tr>
        <w:trPr>
          <w:trHeight w:val="50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lef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Remote Access to Electronic Resources</w:t>
            </w:r>
          </w:p>
        </w:tc>
        <w:tc>
          <w:tcPr>
            <w:tcW w:w="4418" w:type="dxa"/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Technical and instructional support for remote access to subscribed resources.</w:t>
            </w:r>
          </w:p>
        </w:tc>
        <w:tc>
          <w:tcPr>
            <w:tcW w:w="2445" w:type="dxa"/>
            <w:tcBorders>
              <w:righ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Proxy settings guides, remote login instructions.</w:t>
            </w:r>
          </w:p>
        </w:tc>
      </w:tr>
      <w:tr>
        <w:trPr>
          <w:trHeight w:val="749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lef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Research Capacity Enhancement Support</w:t>
            </w:r>
          </w:p>
        </w:tc>
        <w:tc>
          <w:tcPr>
            <w:tcW w:w="4418" w:type="dxa"/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Programs and services designed to improve users’ academic research skills.</w:t>
            </w:r>
          </w:p>
        </w:tc>
        <w:tc>
          <w:tcPr>
            <w:tcW w:w="2445" w:type="dxa"/>
            <w:tcBorders>
              <w:righ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Workshops on research methodology, academic writing consultations.</w:t>
            </w:r>
          </w:p>
        </w:tc>
      </w:tr>
      <w:tr>
        <w:trPr>
          <w:trHeight w:val="749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lef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Research Ethics Guidance/Plagiarism Prevention</w:t>
            </w:r>
          </w:p>
        </w:tc>
        <w:tc>
          <w:tcPr>
            <w:tcW w:w="4418" w:type="dxa"/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Education and tools to promote academic integrity and ethical research practices.</w:t>
            </w:r>
          </w:p>
        </w:tc>
        <w:tc>
          <w:tcPr>
            <w:tcW w:w="2445" w:type="dxa"/>
            <w:tcBorders>
              <w:righ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Plagiarism detection tools, research ethics workshops.</w:t>
            </w:r>
          </w:p>
        </w:tc>
      </w:tr>
      <w:tr>
        <w:trPr>
          <w:trHeight w:val="73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lef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Summarization Service</w:t>
            </w:r>
          </w:p>
        </w:tc>
        <w:tc>
          <w:tcPr>
            <w:tcW w:w="4418" w:type="dxa"/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Providing summaries of lengthy documents or data to support users' understanding.</w:t>
            </w:r>
          </w:p>
        </w:tc>
        <w:tc>
          <w:tcPr>
            <w:tcW w:w="2445" w:type="dxa"/>
            <w:tcBorders>
              <w:righ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Abstract writing, summarizing core contents of reports or articles.</w:t>
            </w:r>
          </w:p>
        </w:tc>
      </w:tr>
      <w:tr>
        <w:trPr>
          <w:trHeight w:val="423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left w:val="nil" w:sz="4" w:space="0" w:color="FF0000"/>
            </w:tcBorders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Technology-Integrated Creative Learning Spaces</w:t>
            </w:r>
          </w:p>
        </w:tc>
        <w:tc>
          <w:tcPr>
            <w:tcW w:w="4418" w:type="dxa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Support for learning and research using new technologies and creative spaces.</w:t>
            </w:r>
          </w:p>
        </w:tc>
        <w:tc>
          <w:tcPr>
            <w:tcW w:w="2445" w:type="dxa"/>
            <w:tcBorders>
              <w:right w:val="nil" w:sz="4" w:space="0" w:color="FF0000"/>
            </w:tcBorders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Makerspaces, VR/AR labs, 3D printing studios.</w:t>
            </w:r>
          </w:p>
        </w:tc>
      </w:tr>
      <w:tr>
        <w:trPr>
          <w:trHeight w:val="749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tcBorders>
              <w:lef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Trend/Network Analysis</w:t>
            </w:r>
          </w:p>
        </w:tc>
        <w:tc>
          <w:tcPr>
            <w:tcW w:w="4418" w:type="dxa"/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Support for analyzing research trends and visualizing knowledge networks.</w:t>
            </w:r>
          </w:p>
        </w:tc>
        <w:tc>
          <w:tcPr>
            <w:tcW w:w="2445" w:type="dxa"/>
            <w:tcBorders>
              <w:right w:val="nil" w:sz="4" w:space="0" w:color="FF0000"/>
            </w:tcBorders>
            <w:vAlign w:val="center"/>
          </w:tcPr>
          <w:p>
            <w:pPr>
              <w:rPr>
                <w:rFonts w:ascii="Times New Roman" w:eastAsia="Times New Roman" w:hAnsi="Times New Roman" w:hint="default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18"/>
                <w:szCs w:val="20"/>
              </w:rPr>
              <w:t>Citation analysis, topic clustering, co-authorship network visualization.</w:t>
            </w:r>
          </w:p>
        </w:tc>
      </w:tr>
    </w:tbl>
    <w:p>
      <w:pPr>
        <w:rPr>
          <w:lang w:eastAsia="ko-KR"/>
          <w:rFonts w:ascii="Times New Roman" w:hAnsi="Times New Roman" w:cs="Times New Roman" w:hint="eastAsia"/>
          <w:b/>
          <w:sz w:val="22"/>
          <w:rtl w:val="off"/>
        </w:rPr>
      </w:pPr>
    </w:p>
    <w:p>
      <w:pPr/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CommentReference">
    <w:name w:val="annotation reference"/>
    <w:uiPriority w:val="99"/>
    <w:basedOn w:val="a3"/>
    <w:semiHidden/>
    <w:unhideWhenUsed/>
    <w:rPr>
      <w:sz w:val="18"/>
      <w:szCs w:val="18"/>
    </w:rPr>
  </w:style>
  <w:style w:type="paragraph" w:styleId="CommentText">
    <w:name w:val="annotation text"/>
    <w:uiPriority w:val="99"/>
    <w:basedOn w:val="a2"/>
    <w:unhideWhenUsed/>
  </w:style>
  <w:style w:type="table" w:styleId="TableGrid">
    <w:name w:val="Table Grid"/>
    <w:uiPriority w:val="59"/>
    <w:basedOn w:val="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Yu Gothic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Yu Mincho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2025-12-12T08:44:14Z</dcterms:created>
  <dcterms:modified xsi:type="dcterms:W3CDTF">2025-12-12T09:08:35Z</dcterms:modified>
  <cp:version>1000.0100.01</cp:version>
</cp:coreProperties>
</file>